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A862" w14:textId="77777777" w:rsidR="009605D2" w:rsidRDefault="009605D2">
      <w:pPr>
        <w:sectPr w:rsidR="009605D2">
          <w:headerReference w:type="default" r:id="rId6"/>
          <w:footerReference w:type="default" r:id="rId7"/>
          <w:footerReference w:type="first" r:id="rId8"/>
          <w:pgSz w:w="12240" w:h="15840"/>
          <w:pgMar w:top="840" w:right="1000" w:bottom="840" w:left="1000" w:header="400" w:footer="400" w:gutter="0"/>
          <w:cols w:space="720"/>
          <w:titlePg/>
        </w:sectPr>
      </w:pPr>
    </w:p>
    <w:p w14:paraId="031991BF" w14:textId="77777777" w:rsidR="009605D2" w:rsidRDefault="009605D2">
      <w:bookmarkStart w:id="0" w:name="Bookmark_1"/>
      <w:bookmarkEnd w:id="0"/>
    </w:p>
    <w:p w14:paraId="06F8ED36" w14:textId="77777777" w:rsidR="009605D2" w:rsidRDefault="007E5785">
      <w:r>
        <w:rPr>
          <w:noProof/>
        </w:rPr>
        <w:drawing>
          <wp:inline distT="0" distB="0" distL="0" distR="0" wp14:anchorId="315CD65B" wp14:editId="519834FA">
            <wp:extent cx="165100" cy="165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3A2353">
        <w:rPr>
          <w:rFonts w:ascii="Times" w:eastAsia="Times" w:hAnsi="Times" w:cs="Times"/>
          <w:color w:val="000000"/>
          <w:sz w:val="18"/>
        </w:rPr>
        <w:t>  Neutral</w:t>
      </w:r>
      <w:r w:rsidR="003A2353">
        <w:rPr>
          <w:rFonts w:ascii="Times" w:eastAsia="Times" w:hAnsi="Times" w:cs="Times"/>
          <w:color w:val="000000"/>
          <w:sz w:val="18"/>
        </w:rPr>
        <w:cr/>
        <w:t>As of: June 3, 2020 6:49 PM Z</w:t>
      </w:r>
    </w:p>
    <w:p w14:paraId="16B0D32A" w14:textId="77777777" w:rsidR="009605D2" w:rsidRDefault="003A2353">
      <w:pPr>
        <w:pStyle w:val="Heading1"/>
        <w:keepNext w:val="0"/>
        <w:widowControl w:val="0"/>
        <w:spacing w:after="200" w:line="340" w:lineRule="atLeast"/>
        <w:jc w:val="center"/>
      </w:pPr>
      <w:r>
        <w:rPr>
          <w:rFonts w:ascii="Times" w:eastAsia="Times" w:hAnsi="Times" w:cs="Times"/>
          <w:color w:val="000000"/>
          <w:sz w:val="28"/>
        </w:rPr>
        <w:t>Charles v. Seinfeld</w:t>
      </w:r>
    </w:p>
    <w:p w14:paraId="18A1B29D" w14:textId="77777777" w:rsidR="009605D2" w:rsidRDefault="003A2353">
      <w:pPr>
        <w:widowControl w:val="0"/>
        <w:spacing w:before="120" w:line="300" w:lineRule="atLeast"/>
        <w:jc w:val="center"/>
      </w:pPr>
      <w:r>
        <w:rPr>
          <w:rFonts w:ascii="Times" w:eastAsia="Times" w:hAnsi="Times" w:cs="Times"/>
          <w:color w:val="000000"/>
        </w:rPr>
        <w:t>United States Court of Appeals for the Second Circuit</w:t>
      </w:r>
    </w:p>
    <w:p w14:paraId="0E4DFCC1" w14:textId="77777777" w:rsidR="009605D2" w:rsidRDefault="003A2353">
      <w:pPr>
        <w:widowControl w:val="0"/>
        <w:spacing w:before="120" w:line="300" w:lineRule="atLeast"/>
        <w:jc w:val="center"/>
      </w:pPr>
      <w:r>
        <w:rPr>
          <w:rFonts w:ascii="Times" w:eastAsia="Times" w:hAnsi="Times" w:cs="Times"/>
          <w:color w:val="000000"/>
        </w:rPr>
        <w:t>May 7, 2020, Decided</w:t>
      </w:r>
    </w:p>
    <w:p w14:paraId="60E62D6C" w14:textId="77777777" w:rsidR="009605D2" w:rsidRDefault="003A2353">
      <w:pPr>
        <w:widowControl w:val="0"/>
        <w:spacing w:before="120" w:line="300" w:lineRule="atLeast"/>
        <w:jc w:val="center"/>
        <w:sectPr w:rsidR="009605D2">
          <w:type w:val="continuous"/>
          <w:pgSz w:w="12240" w:h="15840"/>
          <w:pgMar w:top="840" w:right="1000" w:bottom="840" w:left="1000" w:header="400" w:footer="400" w:gutter="0"/>
          <w:cols w:space="240"/>
        </w:sectPr>
      </w:pPr>
      <w:r>
        <w:rPr>
          <w:rFonts w:ascii="Times" w:eastAsia="Times" w:hAnsi="Times" w:cs="Times"/>
          <w:color w:val="000000"/>
        </w:rPr>
        <w:t>19-3335</w:t>
      </w:r>
    </w:p>
    <w:p w14:paraId="79697E5B" w14:textId="77777777" w:rsidR="009605D2" w:rsidRDefault="009605D2">
      <w:pPr>
        <w:widowControl w:val="0"/>
        <w:spacing w:line="240" w:lineRule="atLeast"/>
        <w:jc w:val="both"/>
      </w:pPr>
    </w:p>
    <w:p w14:paraId="5F2163CA" w14:textId="77777777" w:rsidR="009605D2" w:rsidRDefault="003A2353">
      <w:pPr>
        <w:widowControl w:val="0"/>
        <w:spacing w:before="200" w:line="280" w:lineRule="atLeast"/>
      </w:pPr>
      <w:bookmarkStart w:id="1" w:name="Reporter"/>
      <w:bookmarkEnd w:id="1"/>
      <w:r>
        <w:rPr>
          <w:rFonts w:ascii="Times" w:eastAsia="Times" w:hAnsi="Times" w:cs="Times"/>
          <w:b/>
          <w:color w:val="000000"/>
          <w:sz w:val="22"/>
        </w:rPr>
        <w:t>Reporter</w:t>
      </w:r>
    </w:p>
    <w:p w14:paraId="1EFE2A9B" w14:textId="77777777" w:rsidR="009605D2" w:rsidRDefault="003A2353">
      <w:pPr>
        <w:widowControl w:val="0"/>
        <w:spacing w:line="280" w:lineRule="atLeast"/>
        <w:sectPr w:rsidR="009605D2">
          <w:type w:val="continuous"/>
          <w:pgSz w:w="12240" w:h="15840"/>
          <w:pgMar w:top="840" w:right="1000" w:bottom="840" w:left="1000" w:header="400" w:footer="400" w:gutter="0"/>
          <w:cols w:space="240"/>
        </w:sectPr>
      </w:pPr>
      <w:r>
        <w:rPr>
          <w:rFonts w:ascii="Times" w:eastAsia="Times" w:hAnsi="Times" w:cs="Times"/>
          <w:color w:val="000000"/>
          <w:sz w:val="22"/>
        </w:rPr>
        <w:t>2020 U.S. App. LEXIS 14596 *</w:t>
      </w:r>
    </w:p>
    <w:p w14:paraId="17B53734" w14:textId="77777777" w:rsidR="009605D2" w:rsidRDefault="003A2353">
      <w:pPr>
        <w:widowControl w:val="0"/>
        <w:spacing w:before="120" w:line="300" w:lineRule="atLeast"/>
      </w:pPr>
      <w:r>
        <w:br/>
      </w:r>
      <w:r>
        <w:rPr>
          <w:rFonts w:ascii="Times" w:eastAsia="Times" w:hAnsi="Times" w:cs="Times"/>
          <w:color w:val="000000"/>
        </w:rPr>
        <w:t xml:space="preserve">CHRISTIAN CHARLES, Plaintiff-Appellant, v. JERRY SEINFELD, COLUMBUS 81 PRODUCTIONS, INC., (AND NEW MATERIAL, LLC), COMEDIANS IN CARS, LLC, SONY PICTURES TELEVISION INC., NETFLIX, INC., </w:t>
      </w:r>
      <w:r>
        <w:rPr>
          <w:rFonts w:ascii="Times" w:eastAsia="Times" w:hAnsi="Times" w:cs="Times"/>
          <w:color w:val="000000"/>
        </w:rPr>
        <w:t>EMBASSY ROW, LLC, Defendants-Appellees. EMBASSY ROW, MICHAEL DAVIES, CEO, Defendant.</w:t>
      </w:r>
      <w:r>
        <w:br/>
      </w:r>
      <w:r>
        <w:br/>
      </w:r>
    </w:p>
    <w:p w14:paraId="1E1396E4" w14:textId="77777777" w:rsidR="009605D2" w:rsidRDefault="003A2353">
      <w:pPr>
        <w:widowControl w:val="0"/>
        <w:spacing w:before="240" w:line="300" w:lineRule="atLeast"/>
        <w:jc w:val="both"/>
      </w:pPr>
      <w:bookmarkStart w:id="2" w:name="Notice"/>
      <w:bookmarkEnd w:id="2"/>
      <w:r>
        <w:rPr>
          <w:rFonts w:ascii="Times" w:eastAsia="Times" w:hAnsi="Times" w:cs="Times"/>
          <w:b/>
          <w:color w:val="000000"/>
        </w:rPr>
        <w:t>Notice:</w:t>
      </w:r>
      <w:r>
        <w:rPr>
          <w:rFonts w:ascii="Times" w:eastAsia="Times" w:hAnsi="Times" w:cs="Times"/>
          <w:color w:val="000000"/>
        </w:rPr>
        <w:t> </w:t>
      </w:r>
      <w:bookmarkStart w:id="3" w:name="Bookmark_para_1"/>
      <w:bookmarkEnd w:id="3"/>
      <w:r>
        <w:rPr>
          <w:rFonts w:ascii="Times" w:eastAsia="Times" w:hAnsi="Times" w:cs="Times"/>
          <w:color w:val="000000"/>
        </w:rPr>
        <w:t>PLEASE REFER TO FEDERAL RULES OF APPELLATE PROCEDURE RULE 32.1 GOVERNING THE CITATION TO UNPUBLISHED OPINIONS.</w:t>
      </w:r>
    </w:p>
    <w:p w14:paraId="709069DD" w14:textId="77777777" w:rsidR="009605D2" w:rsidRDefault="003A2353">
      <w:pPr>
        <w:widowControl w:val="0"/>
        <w:spacing w:line="300" w:lineRule="atLeast"/>
      </w:pPr>
      <w:r>
        <w:br/>
      </w:r>
      <w:r>
        <w:br/>
      </w:r>
    </w:p>
    <w:p w14:paraId="6F3A3699" w14:textId="77777777" w:rsidR="009605D2" w:rsidRDefault="003A2353">
      <w:pPr>
        <w:widowControl w:val="0"/>
        <w:spacing w:before="240" w:line="300" w:lineRule="atLeast"/>
        <w:jc w:val="both"/>
      </w:pPr>
      <w:bookmarkStart w:id="4" w:name="Prior_History"/>
      <w:bookmarkEnd w:id="4"/>
      <w:r>
        <w:rPr>
          <w:rFonts w:ascii="Times" w:eastAsia="Times" w:hAnsi="Times" w:cs="Times"/>
          <w:b/>
          <w:color w:val="000000"/>
        </w:rPr>
        <w:t>Prior History:</w:t>
      </w:r>
      <w:r>
        <w:rPr>
          <w:rFonts w:ascii="Times" w:eastAsia="Times" w:hAnsi="Times" w:cs="Times"/>
          <w:color w:val="000000"/>
        </w:rPr>
        <w:t> </w:t>
      </w:r>
      <w:bookmarkStart w:id="5" w:name="Bookmark_para_2"/>
      <w:bookmarkEnd w:id="5"/>
      <w:r>
        <w:rPr>
          <w:rFonts w:ascii="Times" w:eastAsia="Times" w:hAnsi="Times" w:cs="Times"/>
          <w:b/>
          <w:color w:val="000000"/>
        </w:rPr>
        <w:t> [*1] </w:t>
      </w:r>
      <w:r>
        <w:rPr>
          <w:rFonts w:ascii="Times" w:eastAsia="Times" w:hAnsi="Times" w:cs="Times"/>
          <w:color w:val="000000"/>
        </w:rPr>
        <w:t>Appeal from the United Sta</w:t>
      </w:r>
      <w:r>
        <w:rPr>
          <w:rFonts w:ascii="Times" w:eastAsia="Times" w:hAnsi="Times" w:cs="Times"/>
          <w:color w:val="000000"/>
        </w:rPr>
        <w:t>tes District Court for the Southern District of New York (Nathan, J.).</w:t>
      </w:r>
    </w:p>
    <w:p w14:paraId="274D7A67" w14:textId="77777777" w:rsidR="009605D2" w:rsidRDefault="003A2353">
      <w:pPr>
        <w:widowControl w:val="0"/>
        <w:spacing w:before="120" w:line="300" w:lineRule="atLeast"/>
      </w:pPr>
      <w:r>
        <w:rPr>
          <w:rFonts w:ascii="Times" w:eastAsia="Times" w:hAnsi="Times" w:cs="Times"/>
          <w:color w:val="000000"/>
        </w:rPr>
        <w:t>Charles v. Seinfeld, 410 F. Supp. 3d 656, 2019 U.S. Dist. LEXIS 169543 (S.D.N.Y., Sept. 30, 2019)</w:t>
      </w:r>
      <w:r>
        <w:br/>
      </w:r>
      <w:r>
        <w:br/>
      </w:r>
    </w:p>
    <w:p w14:paraId="625D8DC5" w14:textId="77777777" w:rsidR="009605D2" w:rsidRDefault="003A2353">
      <w:pPr>
        <w:keepNext/>
        <w:widowControl w:val="0"/>
        <w:spacing w:before="240" w:line="340" w:lineRule="atLeast"/>
      </w:pPr>
      <w:bookmarkStart w:id="6" w:name="Core_Terms"/>
      <w:bookmarkEnd w:id="6"/>
      <w:r>
        <w:rPr>
          <w:rFonts w:ascii="Times" w:eastAsia="Times" w:hAnsi="Times" w:cs="Times"/>
          <w:b/>
          <w:color w:val="000000"/>
          <w:sz w:val="28"/>
        </w:rPr>
        <w:t>Core Terms</w:t>
      </w:r>
    </w:p>
    <w:p w14:paraId="3A149BEE" w14:textId="77777777" w:rsidR="009605D2" w:rsidRDefault="007E5785">
      <w:pPr>
        <w:spacing w:line="60" w:lineRule="exact"/>
      </w:pPr>
      <w:r>
        <w:rPr>
          <w:noProof/>
        </w:rPr>
        <mc:AlternateContent>
          <mc:Choice Requires="wps">
            <w:drawing>
              <wp:anchor distT="0" distB="0" distL="114300" distR="114300" simplePos="0" relativeHeight="251658240" behindDoc="0" locked="0" layoutInCell="1" allowOverlap="1" wp14:anchorId="57354571" wp14:editId="31B5EC19">
                <wp:simplePos x="0" y="0"/>
                <wp:positionH relativeFrom="column">
                  <wp:posOffset>0</wp:posOffset>
                </wp:positionH>
                <wp:positionV relativeFrom="paragraph">
                  <wp:posOffset>25400</wp:posOffset>
                </wp:positionV>
                <wp:extent cx="3187700" cy="0"/>
                <wp:effectExtent l="0" t="1270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A66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" strokecolor="#009ddb" strokeweight="2pt">
                <o:lock v:ext="edit" shapetype="f"/>
                <w10:wrap type="topAndBottom"/>
              </v:line>
            </w:pict>
          </mc:Fallback>
        </mc:AlternateContent>
      </w:r>
    </w:p>
    <w:p w14:paraId="43AEB960" w14:textId="77777777" w:rsidR="009605D2" w:rsidRDefault="003A2353">
      <w:pPr>
        <w:widowControl w:val="0"/>
        <w:spacing w:before="120" w:line="300" w:lineRule="atLeast"/>
      </w:pPr>
      <w:r>
        <w:rPr>
          <w:rFonts w:ascii="Times" w:eastAsia="Times" w:hAnsi="Times" w:cs="Times"/>
          <w:color w:val="000000"/>
        </w:rPr>
        <w:t>claim of ownership, ownership, district court, time-barred, disputed, pi</w:t>
      </w:r>
      <w:r>
        <w:rPr>
          <w:rFonts w:ascii="Times" w:eastAsia="Times" w:hAnsi="Times" w:cs="Times"/>
          <w:color w:val="000000"/>
        </w:rPr>
        <w:t xml:space="preserve">lot, motion to dismiss, infringement, defendants', accrue, copyright </w:t>
      </w:r>
      <w:r>
        <w:rPr>
          <w:rFonts w:ascii="Times" w:eastAsia="Times" w:hAnsi="Times" w:cs="Times"/>
          <w:color w:val="000000"/>
        </w:rPr>
        <w:t>infringement, infringement claim, dispositive issue, work-for-hire, authorship, Comedians, diligent, episode, notice</w:t>
      </w:r>
      <w:r>
        <w:br/>
      </w:r>
      <w:r>
        <w:br/>
      </w:r>
    </w:p>
    <w:p w14:paraId="210A6F65" w14:textId="77777777" w:rsidR="009605D2" w:rsidRDefault="003A2353">
      <w:pPr>
        <w:widowControl w:val="0"/>
        <w:spacing w:before="240" w:line="300" w:lineRule="atLeast"/>
      </w:pPr>
      <w:bookmarkStart w:id="7" w:name="Counsel"/>
      <w:bookmarkEnd w:id="7"/>
      <w:r>
        <w:rPr>
          <w:rFonts w:ascii="Times" w:eastAsia="Times" w:hAnsi="Times" w:cs="Times"/>
          <w:b/>
          <w:color w:val="000000"/>
        </w:rPr>
        <w:t>Counsel:</w:t>
      </w:r>
      <w:r>
        <w:rPr>
          <w:rFonts w:ascii="Times" w:eastAsia="Times" w:hAnsi="Times" w:cs="Times"/>
          <w:color w:val="000000"/>
        </w:rPr>
        <w:t xml:space="preserve"> Appearing for Appellant: Peter L. </w:t>
      </w:r>
      <w:proofErr w:type="spellStart"/>
      <w:r>
        <w:rPr>
          <w:rFonts w:ascii="Times" w:eastAsia="Times" w:hAnsi="Times" w:cs="Times"/>
          <w:color w:val="000000"/>
        </w:rPr>
        <w:t>Skolnik</w:t>
      </w:r>
      <w:proofErr w:type="spellEnd"/>
      <w:r>
        <w:rPr>
          <w:rFonts w:ascii="Times" w:eastAsia="Times" w:hAnsi="Times" w:cs="Times"/>
          <w:color w:val="000000"/>
        </w:rPr>
        <w:t xml:space="preserve">, Clark </w:t>
      </w:r>
      <w:proofErr w:type="spellStart"/>
      <w:r>
        <w:rPr>
          <w:rFonts w:ascii="Times" w:eastAsia="Times" w:hAnsi="Times" w:cs="Times"/>
          <w:color w:val="000000"/>
        </w:rPr>
        <w:t>Guldin</w:t>
      </w:r>
      <w:proofErr w:type="spellEnd"/>
      <w:r>
        <w:rPr>
          <w:rFonts w:ascii="Times" w:eastAsia="Times" w:hAnsi="Times" w:cs="Times"/>
          <w:color w:val="000000"/>
        </w:rPr>
        <w:t>, Montclair, N.J.</w:t>
      </w:r>
      <w:r>
        <w:br/>
      </w:r>
    </w:p>
    <w:p w14:paraId="28602F2A" w14:textId="77777777" w:rsidR="009605D2" w:rsidRDefault="003A2353">
      <w:pPr>
        <w:widowControl w:val="0"/>
        <w:spacing w:before="120" w:line="300" w:lineRule="atLeast"/>
      </w:pPr>
      <w:r>
        <w:rPr>
          <w:rFonts w:ascii="Times" w:eastAsia="Times" w:hAnsi="Times" w:cs="Times"/>
          <w:color w:val="000000"/>
        </w:rPr>
        <w:t xml:space="preserve">Appearing for Appellee: Orin Snyder (David M. </w:t>
      </w:r>
      <w:proofErr w:type="spellStart"/>
      <w:r>
        <w:rPr>
          <w:rFonts w:ascii="Times" w:eastAsia="Times" w:hAnsi="Times" w:cs="Times"/>
          <w:color w:val="000000"/>
        </w:rPr>
        <w:t>Kusnetz</w:t>
      </w:r>
      <w:proofErr w:type="spellEnd"/>
      <w:r>
        <w:rPr>
          <w:rFonts w:ascii="Times" w:eastAsia="Times" w:hAnsi="Times" w:cs="Times"/>
          <w:color w:val="000000"/>
        </w:rPr>
        <w:t>, on the brief), Gibson, Dunn &amp; Crutcher LLP, New York, N.Y.</w:t>
      </w:r>
      <w:r>
        <w:br/>
      </w:r>
      <w:r>
        <w:br/>
      </w:r>
    </w:p>
    <w:p w14:paraId="0CFE1DF3" w14:textId="77777777" w:rsidR="009605D2" w:rsidRDefault="003A2353">
      <w:pPr>
        <w:widowControl w:val="0"/>
        <w:spacing w:before="240" w:line="300" w:lineRule="atLeast"/>
      </w:pPr>
      <w:bookmarkStart w:id="8" w:name="Judges"/>
      <w:bookmarkEnd w:id="8"/>
      <w:r>
        <w:rPr>
          <w:rFonts w:ascii="Times" w:eastAsia="Times" w:hAnsi="Times" w:cs="Times"/>
          <w:b/>
          <w:color w:val="000000"/>
        </w:rPr>
        <w:t>Judges:</w:t>
      </w:r>
      <w:r>
        <w:rPr>
          <w:rFonts w:ascii="Times" w:eastAsia="Times" w:hAnsi="Times" w:cs="Times"/>
          <w:color w:val="000000"/>
        </w:rPr>
        <w:t> Present: JOHN M. WALKER, JR., ROSEMARY S. POOLER, GERARD E. LYNCH, Circuit Judges.</w:t>
      </w:r>
      <w:r>
        <w:br/>
      </w:r>
      <w:r>
        <w:br/>
      </w:r>
    </w:p>
    <w:p w14:paraId="0BCFB5E4" w14:textId="77777777" w:rsidR="009605D2" w:rsidRDefault="003A2353">
      <w:pPr>
        <w:keepNext/>
        <w:widowControl w:val="0"/>
        <w:spacing w:before="240" w:line="340" w:lineRule="atLeast"/>
      </w:pPr>
      <w:bookmarkStart w:id="9" w:name="Opinion"/>
      <w:bookmarkEnd w:id="9"/>
      <w:r>
        <w:rPr>
          <w:rFonts w:ascii="Times" w:eastAsia="Times" w:hAnsi="Times" w:cs="Times"/>
          <w:b/>
          <w:color w:val="000000"/>
          <w:sz w:val="28"/>
        </w:rPr>
        <w:t>Opinion</w:t>
      </w:r>
    </w:p>
    <w:p w14:paraId="3A81B1A9" w14:textId="77777777" w:rsidR="009605D2" w:rsidRDefault="007E5785">
      <w:pPr>
        <w:spacing w:line="60" w:lineRule="exact"/>
      </w:pPr>
      <w:r>
        <w:rPr>
          <w:noProof/>
        </w:rPr>
        <mc:AlternateContent>
          <mc:Choice Requires="wps">
            <w:drawing>
              <wp:anchor distT="0" distB="0" distL="114300" distR="114300" simplePos="0" relativeHeight="251659264" behindDoc="0" locked="0" layoutInCell="1" allowOverlap="1" wp14:anchorId="2B2F5213" wp14:editId="516C7852">
                <wp:simplePos x="0" y="0"/>
                <wp:positionH relativeFrom="column">
                  <wp:posOffset>0</wp:posOffset>
                </wp:positionH>
                <wp:positionV relativeFrom="paragraph">
                  <wp:posOffset>25400</wp:posOffset>
                </wp:positionV>
                <wp:extent cx="3187700" cy="0"/>
                <wp:effectExtent l="0" t="1270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C35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" strokecolor="#009ddb" strokeweight="2pt">
                <o:lock v:ext="edit" shapetype="f"/>
                <w10:wrap type="topAndBottom"/>
              </v:line>
            </w:pict>
          </mc:Fallback>
        </mc:AlternateContent>
      </w:r>
    </w:p>
    <w:p w14:paraId="1C898553" w14:textId="77777777" w:rsidR="009605D2" w:rsidRDefault="009605D2">
      <w:pPr>
        <w:spacing w:line="120" w:lineRule="exact"/>
      </w:pPr>
    </w:p>
    <w:p w14:paraId="62CC8E54" w14:textId="77777777" w:rsidR="009605D2" w:rsidRDefault="003A2353">
      <w:pPr>
        <w:widowControl w:val="0"/>
        <w:spacing w:before="240" w:line="300" w:lineRule="atLeast"/>
      </w:pPr>
      <w:r>
        <w:br/>
      </w:r>
      <w:r>
        <w:rPr>
          <w:rFonts w:ascii="Times" w:eastAsia="Times" w:hAnsi="Times" w:cs="Times"/>
          <w:b/>
          <w:color w:val="000000"/>
        </w:rPr>
        <w:t>SUMMARY OR</w:t>
      </w:r>
      <w:r>
        <w:rPr>
          <w:rFonts w:ascii="Times" w:eastAsia="Times" w:hAnsi="Times" w:cs="Times"/>
          <w:b/>
          <w:color w:val="000000"/>
        </w:rPr>
        <w:t>DER</w:t>
      </w:r>
    </w:p>
    <w:p w14:paraId="5C7D09CD" w14:textId="77777777" w:rsidR="009605D2" w:rsidRDefault="003A2353">
      <w:pPr>
        <w:widowControl w:val="0"/>
        <w:spacing w:before="200" w:line="300" w:lineRule="atLeast"/>
        <w:jc w:val="both"/>
      </w:pPr>
      <w:bookmarkStart w:id="10" w:name="Bookmark_para_3"/>
      <w:bookmarkEnd w:id="10"/>
      <w:r>
        <w:rPr>
          <w:rFonts w:ascii="Times" w:eastAsia="Times" w:hAnsi="Times" w:cs="Times"/>
          <w:b/>
          <w:color w:val="000000"/>
        </w:rPr>
        <w:t>ON CONSIDERATION WHEREOF, IT IS HEREBY ORDERED, ADJUDGED, AND DECREED</w:t>
      </w:r>
      <w:r>
        <w:rPr>
          <w:rFonts w:ascii="Times" w:eastAsia="Times" w:hAnsi="Times" w:cs="Times"/>
          <w:color w:val="000000"/>
        </w:rPr>
        <w:t xml:space="preserve"> that the judgment of said District Court be and it hereby is </w:t>
      </w:r>
      <w:r>
        <w:rPr>
          <w:rFonts w:ascii="Times" w:eastAsia="Times" w:hAnsi="Times" w:cs="Times"/>
          <w:b/>
          <w:color w:val="000000"/>
        </w:rPr>
        <w:t>AFFIRMED</w:t>
      </w:r>
      <w:r>
        <w:rPr>
          <w:rFonts w:ascii="Times" w:eastAsia="Times" w:hAnsi="Times" w:cs="Times"/>
          <w:color w:val="000000"/>
        </w:rPr>
        <w:t>.</w:t>
      </w:r>
    </w:p>
    <w:p w14:paraId="43EDDCC8" w14:textId="77777777" w:rsidR="009605D2" w:rsidRDefault="003A2353">
      <w:pPr>
        <w:widowControl w:val="0"/>
        <w:spacing w:before="200" w:line="300" w:lineRule="atLeast"/>
        <w:jc w:val="both"/>
      </w:pPr>
      <w:bookmarkStart w:id="11" w:name="Bookmark_para_4"/>
      <w:bookmarkEnd w:id="11"/>
      <w:r>
        <w:rPr>
          <w:rFonts w:ascii="Times" w:eastAsia="Times" w:hAnsi="Times" w:cs="Times"/>
          <w:color w:val="000000"/>
        </w:rPr>
        <w:t xml:space="preserve">Appellant Christian Charles appeals from the September 30, 2019 judgment of the United States </w:t>
      </w:r>
      <w:r>
        <w:rPr>
          <w:rFonts w:ascii="Times" w:eastAsia="Times" w:hAnsi="Times" w:cs="Times"/>
          <w:color w:val="000000"/>
        </w:rPr>
        <w:lastRenderedPageBreak/>
        <w:t>District Court fo</w:t>
      </w:r>
      <w:r>
        <w:rPr>
          <w:rFonts w:ascii="Times" w:eastAsia="Times" w:hAnsi="Times" w:cs="Times"/>
          <w:color w:val="000000"/>
        </w:rPr>
        <w:t xml:space="preserve">r the Southern District of New York (Nathan, </w:t>
      </w:r>
      <w:r>
        <w:rPr>
          <w:rFonts w:ascii="Times" w:eastAsia="Times" w:hAnsi="Times" w:cs="Times"/>
          <w:i/>
          <w:color w:val="000000"/>
        </w:rPr>
        <w:t>J.</w:t>
      </w:r>
      <w:r>
        <w:rPr>
          <w:rFonts w:ascii="Times" w:eastAsia="Times" w:hAnsi="Times" w:cs="Times"/>
          <w:color w:val="000000"/>
        </w:rPr>
        <w:t>) granting defendants' motion to dismiss on the ground that Charles's copyright infringement claims were time-barred.</w:t>
      </w:r>
    </w:p>
    <w:p w14:paraId="173BC04C" w14:textId="77777777" w:rsidR="009605D2" w:rsidRDefault="003A2353">
      <w:pPr>
        <w:widowControl w:val="0"/>
        <w:spacing w:before="200" w:line="300" w:lineRule="atLeast"/>
        <w:jc w:val="both"/>
      </w:pPr>
      <w:bookmarkStart w:id="12" w:name="Bookmark_para_5"/>
      <w:bookmarkStart w:id="13" w:name="Bookmark_I5YW64062HM6DP0020000400"/>
      <w:bookmarkEnd w:id="12"/>
      <w:bookmarkEnd w:id="13"/>
      <w:r>
        <w:rPr>
          <w:rFonts w:ascii="Times" w:eastAsia="Times" w:hAnsi="Times" w:cs="Times"/>
          <w:color w:val="000000"/>
        </w:rPr>
        <w:t xml:space="preserve">In February 2018, Charles sued comedian Jerry Seinfeld and other defendants in a copyright infringement action based on his claimed authorship of the television series, </w:t>
      </w:r>
      <w:r>
        <w:rPr>
          <w:rFonts w:ascii="Times" w:eastAsia="Times" w:hAnsi="Times" w:cs="Times"/>
          <w:i/>
          <w:color w:val="000000"/>
        </w:rPr>
        <w:t>Comedians in Cars Getting Coffee</w:t>
      </w:r>
      <w:r>
        <w:rPr>
          <w:rFonts w:ascii="Times" w:eastAsia="Times" w:hAnsi="Times" w:cs="Times"/>
          <w:color w:val="000000"/>
        </w:rPr>
        <w:t>, a show whose pilot episode Charles and his production</w:t>
      </w:r>
      <w:r>
        <w:rPr>
          <w:rFonts w:ascii="Times" w:eastAsia="Times" w:hAnsi="Times" w:cs="Times"/>
          <w:color w:val="000000"/>
        </w:rPr>
        <w:t xml:space="preserve"> company helped develop in 2011. To maintain an action for infringement, a plaintiff must establish (1) ownership of a valid copyright, and (2) copying of</w:t>
      </w:r>
      <w:r>
        <w:rPr>
          <w:rFonts w:ascii="Times" w:eastAsia="Times" w:hAnsi="Times" w:cs="Times"/>
          <w:b/>
          <w:color w:val="000000"/>
        </w:rPr>
        <w:t> [*2] </w:t>
      </w:r>
      <w:r>
        <w:rPr>
          <w:rFonts w:ascii="Times" w:eastAsia="Times" w:hAnsi="Times" w:cs="Times"/>
          <w:color w:val="000000"/>
        </w:rPr>
        <w:t xml:space="preserve"> constituent elements of the work that are original." </w:t>
      </w:r>
      <w:bookmarkStart w:id="14" w:name="Bookmark_I5YW64062HM6DP0010000400"/>
      <w:bookmarkEnd w:id="14"/>
      <w:r>
        <w:rPr>
          <w:rFonts w:ascii="Times" w:eastAsia="Times" w:hAnsi="Times" w:cs="Times"/>
          <w:i/>
          <w:color w:val="000000"/>
        </w:rPr>
        <w:t xml:space="preserve">Kwan v. </w:t>
      </w:r>
      <w:proofErr w:type="spellStart"/>
      <w:r>
        <w:rPr>
          <w:rFonts w:ascii="Times" w:eastAsia="Times" w:hAnsi="Times" w:cs="Times"/>
          <w:i/>
          <w:color w:val="000000"/>
        </w:rPr>
        <w:t>Schlein</w:t>
      </w:r>
      <w:proofErr w:type="spellEnd"/>
      <w:r>
        <w:rPr>
          <w:rFonts w:ascii="Times" w:eastAsia="Times" w:hAnsi="Times" w:cs="Times"/>
          <w:color w:val="000000"/>
        </w:rPr>
        <w:t>, 634 F.3d 224, 229 (2d Cir</w:t>
      </w:r>
      <w:r>
        <w:rPr>
          <w:rFonts w:ascii="Times" w:eastAsia="Times" w:hAnsi="Times" w:cs="Times"/>
          <w:color w:val="000000"/>
        </w:rPr>
        <w:t xml:space="preserve">. 2011) (internal quotation marks and citation omitted). </w:t>
      </w:r>
      <w:bookmarkStart w:id="15" w:name="Bookmark_I5YW64062HM6DP0040000400"/>
      <w:bookmarkEnd w:id="15"/>
      <w:r>
        <w:rPr>
          <w:rFonts w:ascii="Times" w:eastAsia="Times" w:hAnsi="Times" w:cs="Times"/>
          <w:color w:val="000000"/>
        </w:rPr>
        <w:t xml:space="preserve">Claims under the Copyright Act must be brought "within three years after the claim [has] accrued." 17 U.S.C. § 507(b). </w:t>
      </w:r>
      <w:bookmarkStart w:id="16" w:name="Bookmark_I5YW64062HM6DP0040000400_2"/>
      <w:bookmarkEnd w:id="16"/>
      <w:r>
        <w:rPr>
          <w:rFonts w:ascii="Times" w:eastAsia="Times" w:hAnsi="Times" w:cs="Times"/>
          <w:color w:val="000000"/>
        </w:rPr>
        <w:t>When "ownership is the dispositive issue" in an infringement case and the "owner</w:t>
      </w:r>
      <w:r>
        <w:rPr>
          <w:rFonts w:ascii="Times" w:eastAsia="Times" w:hAnsi="Times" w:cs="Times"/>
          <w:color w:val="000000"/>
        </w:rPr>
        <w:t xml:space="preserve">ship claim is time-barred," the infringement claim itself is also time-barred, even if any allegedly infringing activity occurred within the limitations period. </w:t>
      </w:r>
      <w:bookmarkStart w:id="17" w:name="Bookmark_I5YW640728T4G50030000400"/>
      <w:bookmarkStart w:id="18" w:name="Bookmark_I5YW64062HM6DP0030000400"/>
      <w:bookmarkEnd w:id="17"/>
      <w:bookmarkEnd w:id="18"/>
      <w:r>
        <w:rPr>
          <w:rFonts w:ascii="Times" w:eastAsia="Times" w:hAnsi="Times" w:cs="Times"/>
          <w:i/>
          <w:color w:val="000000"/>
        </w:rPr>
        <w:t>Kwan</w:t>
      </w:r>
      <w:r>
        <w:rPr>
          <w:rFonts w:ascii="Times" w:eastAsia="Times" w:hAnsi="Times" w:cs="Times"/>
          <w:color w:val="000000"/>
        </w:rPr>
        <w:t xml:space="preserve">, 634 F.3d at 230; </w:t>
      </w:r>
      <w:r>
        <w:rPr>
          <w:rFonts w:ascii="Times" w:eastAsia="Times" w:hAnsi="Times" w:cs="Times"/>
          <w:i/>
          <w:color w:val="000000"/>
        </w:rPr>
        <w:t xml:space="preserve">see also </w:t>
      </w:r>
      <w:bookmarkStart w:id="19" w:name="Bookmark_I5YW64062HM6DP0050000400"/>
      <w:bookmarkEnd w:id="19"/>
      <w:r>
        <w:rPr>
          <w:rFonts w:ascii="Times" w:eastAsia="Times" w:hAnsi="Times" w:cs="Times"/>
          <w:i/>
          <w:color w:val="000000"/>
        </w:rPr>
        <w:t>Simmons v. Stanberry</w:t>
      </w:r>
      <w:r>
        <w:rPr>
          <w:rFonts w:ascii="Times" w:eastAsia="Times" w:hAnsi="Times" w:cs="Times"/>
          <w:color w:val="000000"/>
        </w:rPr>
        <w:t xml:space="preserve">, 810 F.3d 114, 116 (2d Cir. 2016). </w:t>
      </w:r>
      <w:bookmarkStart w:id="20" w:name="Bookmark_I5YW640728T4G50030000400_2"/>
      <w:bookmarkEnd w:id="20"/>
      <w:r>
        <w:rPr>
          <w:rFonts w:ascii="Times" w:eastAsia="Times" w:hAnsi="Times" w:cs="Times"/>
          <w:color w:val="000000"/>
        </w:rPr>
        <w:t>An owne</w:t>
      </w:r>
      <w:r>
        <w:rPr>
          <w:rFonts w:ascii="Times" w:eastAsia="Times" w:hAnsi="Times" w:cs="Times"/>
          <w:color w:val="000000"/>
        </w:rPr>
        <w:t xml:space="preserve">rship claim accrues only once, when a reasonably diligent plaintiff would have discovered that ownership was disputed. </w:t>
      </w:r>
      <w:bookmarkStart w:id="21" w:name="Bookmark_I5YW640728T4G50020000400"/>
      <w:bookmarkEnd w:id="21"/>
      <w:r>
        <w:rPr>
          <w:rFonts w:ascii="Times" w:eastAsia="Times" w:hAnsi="Times" w:cs="Times"/>
          <w:i/>
          <w:color w:val="000000"/>
        </w:rPr>
        <w:t>Kwan</w:t>
      </w:r>
      <w:r>
        <w:rPr>
          <w:rFonts w:ascii="Times" w:eastAsia="Times" w:hAnsi="Times" w:cs="Times"/>
          <w:color w:val="000000"/>
        </w:rPr>
        <w:t>, 634 F.3d at 228.</w:t>
      </w:r>
    </w:p>
    <w:p w14:paraId="6A4CDCB4" w14:textId="77777777" w:rsidR="009605D2" w:rsidRDefault="003A2353">
      <w:pPr>
        <w:widowControl w:val="0"/>
        <w:spacing w:before="200" w:line="300" w:lineRule="atLeast"/>
        <w:jc w:val="both"/>
      </w:pPr>
      <w:bookmarkStart w:id="22" w:name="Bookmark_para_6"/>
      <w:bookmarkStart w:id="23" w:name="Bookmark_I5YW640728T4G50050000400"/>
      <w:bookmarkEnd w:id="22"/>
      <w:bookmarkEnd w:id="23"/>
      <w:r>
        <w:rPr>
          <w:rFonts w:ascii="Times" w:eastAsia="Times" w:hAnsi="Times" w:cs="Times"/>
          <w:color w:val="000000"/>
        </w:rPr>
        <w:t>We conclude that the district court was correct in granting defendants' motion to dismiss, for substantially the s</w:t>
      </w:r>
      <w:r>
        <w:rPr>
          <w:rFonts w:ascii="Times" w:eastAsia="Times" w:hAnsi="Times" w:cs="Times"/>
          <w:color w:val="000000"/>
        </w:rPr>
        <w:t xml:space="preserve">ame reasons that it set out in its well-reasoned opinion. The dispositive issue in this case is whether Charles's alleged "contributions . . . qualify [him] as the author and therefore owner" of the copyrights to the show. </w:t>
      </w:r>
      <w:bookmarkStart w:id="24" w:name="Bookmark_I5YW640728T4G50040000400"/>
      <w:bookmarkEnd w:id="24"/>
      <w:r>
        <w:rPr>
          <w:rFonts w:ascii="Times" w:eastAsia="Times" w:hAnsi="Times" w:cs="Times"/>
          <w:i/>
          <w:color w:val="000000"/>
        </w:rPr>
        <w:t>Kwan</w:t>
      </w:r>
      <w:r>
        <w:rPr>
          <w:rFonts w:ascii="Times" w:eastAsia="Times" w:hAnsi="Times" w:cs="Times"/>
          <w:color w:val="000000"/>
        </w:rPr>
        <w:t>, 634 F.3d at 229. Charles di</w:t>
      </w:r>
      <w:r>
        <w:rPr>
          <w:rFonts w:ascii="Times" w:eastAsia="Times" w:hAnsi="Times" w:cs="Times"/>
          <w:color w:val="000000"/>
        </w:rPr>
        <w:t>sputes that his claim centers on ownership. But that argument is seriously undermined by his statements in various filings throughout this litigation which consistently assert that ownership is a central question. To take one example, the Memorandum in Opp</w:t>
      </w:r>
      <w:r>
        <w:rPr>
          <w:rFonts w:ascii="Times" w:eastAsia="Times" w:hAnsi="Times" w:cs="Times"/>
          <w:color w:val="000000"/>
        </w:rPr>
        <w:t>osition to</w:t>
      </w:r>
      <w:r>
        <w:rPr>
          <w:rFonts w:ascii="Times" w:eastAsia="Times" w:hAnsi="Times" w:cs="Times"/>
          <w:b/>
          <w:color w:val="000000"/>
        </w:rPr>
        <w:t> [*3] </w:t>
      </w:r>
      <w:r>
        <w:rPr>
          <w:rFonts w:ascii="Times" w:eastAsia="Times" w:hAnsi="Times" w:cs="Times"/>
          <w:color w:val="000000"/>
        </w:rPr>
        <w:t xml:space="preserve"> Defendants' Motion to Dismiss stated that "[r]</w:t>
      </w:r>
      <w:proofErr w:type="spellStart"/>
      <w:r>
        <w:rPr>
          <w:rFonts w:ascii="Times" w:eastAsia="Times" w:hAnsi="Times" w:cs="Times"/>
          <w:color w:val="000000"/>
        </w:rPr>
        <w:t>esolution</w:t>
      </w:r>
      <w:proofErr w:type="spellEnd"/>
      <w:r>
        <w:rPr>
          <w:rFonts w:ascii="Times" w:eastAsia="Times" w:hAnsi="Times" w:cs="Times"/>
          <w:color w:val="000000"/>
        </w:rPr>
        <w:t xml:space="preserve"> of this case depends upon the answer </w:t>
      </w:r>
      <w:r>
        <w:rPr>
          <w:rFonts w:ascii="Times" w:eastAsia="Times" w:hAnsi="Times" w:cs="Times"/>
          <w:color w:val="000000"/>
        </w:rPr>
        <w:t>to one simple question: who is the author of the [</w:t>
      </w:r>
      <w:r>
        <w:rPr>
          <w:rFonts w:ascii="Times" w:eastAsia="Times" w:hAnsi="Times" w:cs="Times"/>
          <w:i/>
          <w:color w:val="000000"/>
        </w:rPr>
        <w:t>Comedians in Cars Getting Coffee</w:t>
      </w:r>
      <w:r>
        <w:rPr>
          <w:rFonts w:ascii="Times" w:eastAsia="Times" w:hAnsi="Times" w:cs="Times"/>
          <w:color w:val="000000"/>
        </w:rPr>
        <w:t>] Pilot." As the district court explained, "authorship is merely</w:t>
      </w:r>
      <w:r>
        <w:rPr>
          <w:rFonts w:ascii="Times" w:eastAsia="Times" w:hAnsi="Times" w:cs="Times"/>
          <w:color w:val="000000"/>
        </w:rPr>
        <w:t xml:space="preserve"> one path to ownership of a copyright." </w:t>
      </w:r>
      <w:proofErr w:type="spellStart"/>
      <w:r>
        <w:rPr>
          <w:rFonts w:ascii="Times" w:eastAsia="Times" w:hAnsi="Times" w:cs="Times"/>
          <w:color w:val="000000"/>
        </w:rPr>
        <w:t>App'x</w:t>
      </w:r>
      <w:proofErr w:type="spellEnd"/>
      <w:r>
        <w:rPr>
          <w:rFonts w:ascii="Times" w:eastAsia="Times" w:hAnsi="Times" w:cs="Times"/>
          <w:color w:val="000000"/>
        </w:rPr>
        <w:t xml:space="preserve"> at 274. Charles asserts that he owns a copyright in the pilot episode of the show because he is its author; Seinfeld disputes that claim, contending that he conceived that show and that Charles did his work as </w:t>
      </w:r>
      <w:r>
        <w:rPr>
          <w:rFonts w:ascii="Times" w:eastAsia="Times" w:hAnsi="Times" w:cs="Times"/>
          <w:color w:val="000000"/>
        </w:rPr>
        <w:t>a hired producer and director. Therefore, the central issue is clearly a dispute over ownership, as opposed to a dispute over whether subsequent iterations of the show make use of the material in the script for the pilot.</w:t>
      </w:r>
    </w:p>
    <w:p w14:paraId="21BBCEF7" w14:textId="77777777" w:rsidR="009605D2" w:rsidRDefault="003A2353">
      <w:pPr>
        <w:widowControl w:val="0"/>
        <w:spacing w:before="200" w:line="300" w:lineRule="atLeast"/>
        <w:jc w:val="both"/>
      </w:pPr>
      <w:bookmarkStart w:id="25" w:name="Bookmark_para_7"/>
      <w:bookmarkEnd w:id="25"/>
      <w:r>
        <w:rPr>
          <w:rFonts w:ascii="Times" w:eastAsia="Times" w:hAnsi="Times" w:cs="Times"/>
          <w:color w:val="000000"/>
        </w:rPr>
        <w:t>Charles's infringement claim is th</w:t>
      </w:r>
      <w:r>
        <w:rPr>
          <w:rFonts w:ascii="Times" w:eastAsia="Times" w:hAnsi="Times" w:cs="Times"/>
          <w:color w:val="000000"/>
        </w:rPr>
        <w:t xml:space="preserve">erefore time-barred because his ownership claim is time-barred. </w:t>
      </w:r>
      <w:bookmarkStart w:id="26" w:name="Bookmark_I5YW64072N1PRT0020000400"/>
      <w:bookmarkEnd w:id="26"/>
      <w:r>
        <w:rPr>
          <w:rFonts w:ascii="Times" w:eastAsia="Times" w:hAnsi="Times" w:cs="Times"/>
          <w:color w:val="000000"/>
        </w:rPr>
        <w:t>The district court identified two events described in the Second Amended Complaint that would have put a reasonably diligent plaintiff on notice that his ownership claims were disputed. First,</w:t>
      </w:r>
      <w:r>
        <w:rPr>
          <w:rFonts w:ascii="Times" w:eastAsia="Times" w:hAnsi="Times" w:cs="Times"/>
          <w:color w:val="000000"/>
        </w:rPr>
        <w:t xml:space="preserve"> in February 2012, Seinfeld rejected Charles's request for backend compensation and made it clear that Charles's involvement would be limited to a work-for-hire basis. </w:t>
      </w:r>
      <w:bookmarkStart w:id="27" w:name="Bookmark_I5YW64072N1PRT0040000400"/>
      <w:bookmarkEnd w:id="27"/>
      <w:r>
        <w:rPr>
          <w:rFonts w:ascii="Times" w:eastAsia="Times" w:hAnsi="Times" w:cs="Times"/>
          <w:i/>
          <w:color w:val="000000"/>
        </w:rPr>
        <w:t xml:space="preserve">See </w:t>
      </w:r>
      <w:bookmarkStart w:id="28" w:name="Bookmark_I5YW64072N1PRT0010000400"/>
      <w:bookmarkEnd w:id="28"/>
      <w:r>
        <w:rPr>
          <w:rFonts w:ascii="Times" w:eastAsia="Times" w:hAnsi="Times" w:cs="Times"/>
          <w:i/>
          <w:color w:val="000000"/>
        </w:rPr>
        <w:t>Gary Friedrich Enters., LLC v. Marvel Characters, Inc.</w:t>
      </w:r>
      <w:r>
        <w:rPr>
          <w:rFonts w:ascii="Times" w:eastAsia="Times" w:hAnsi="Times" w:cs="Times"/>
          <w:color w:val="000000"/>
        </w:rPr>
        <w:t>, 716 F.3d 302, 318 (2d Cir. 2</w:t>
      </w:r>
      <w:r>
        <w:rPr>
          <w:rFonts w:ascii="Times" w:eastAsia="Times" w:hAnsi="Times" w:cs="Times"/>
          <w:color w:val="000000"/>
        </w:rPr>
        <w:t>013) (noting that a copyright ownership</w:t>
      </w:r>
      <w:r>
        <w:rPr>
          <w:rFonts w:ascii="Times" w:eastAsia="Times" w:hAnsi="Times" w:cs="Times"/>
          <w:b/>
          <w:color w:val="000000"/>
        </w:rPr>
        <w:t> [*4] </w:t>
      </w:r>
      <w:r>
        <w:rPr>
          <w:rFonts w:ascii="Times" w:eastAsia="Times" w:hAnsi="Times" w:cs="Times"/>
          <w:color w:val="000000"/>
        </w:rPr>
        <w:t xml:space="preserve"> claim would accrue when the defendant first communicates to the plaintiff that the defendant considers the work to be a work-for-hire). </w:t>
      </w:r>
      <w:bookmarkStart w:id="29" w:name="Bookmark_I5YW64072N1PRT0040000400_2"/>
      <w:bookmarkEnd w:id="29"/>
      <w:r>
        <w:rPr>
          <w:rFonts w:ascii="Times" w:eastAsia="Times" w:hAnsi="Times" w:cs="Times"/>
          <w:color w:val="000000"/>
        </w:rPr>
        <w:t>Second, the show premiered in July 2012 without crediting Charles, at whic</w:t>
      </w:r>
      <w:r>
        <w:rPr>
          <w:rFonts w:ascii="Times" w:eastAsia="Times" w:hAnsi="Times" w:cs="Times"/>
          <w:color w:val="000000"/>
        </w:rPr>
        <w:t xml:space="preserve">h point his ownership claim was publicly repudiated. </w:t>
      </w:r>
      <w:r>
        <w:rPr>
          <w:rFonts w:ascii="Times" w:eastAsia="Times" w:hAnsi="Times" w:cs="Times"/>
          <w:i/>
          <w:color w:val="000000"/>
        </w:rPr>
        <w:t xml:space="preserve">See </w:t>
      </w:r>
      <w:bookmarkStart w:id="30" w:name="Bookmark_I5YW64072N1PRT0030000400"/>
      <w:bookmarkEnd w:id="30"/>
      <w:r>
        <w:rPr>
          <w:rFonts w:ascii="Times" w:eastAsia="Times" w:hAnsi="Times" w:cs="Times"/>
          <w:i/>
          <w:color w:val="000000"/>
        </w:rPr>
        <w:t>Kwan</w:t>
      </w:r>
      <w:r>
        <w:rPr>
          <w:rFonts w:ascii="Times" w:eastAsia="Times" w:hAnsi="Times" w:cs="Times"/>
          <w:color w:val="000000"/>
        </w:rPr>
        <w:t>, 634 F.3d at 227. Either one of these developments was enough to place Charles on notice that his ownership claim was disputed and therefore this action, filed six years later, was brought too l</w:t>
      </w:r>
      <w:r>
        <w:rPr>
          <w:rFonts w:ascii="Times" w:eastAsia="Times" w:hAnsi="Times" w:cs="Times"/>
          <w:color w:val="000000"/>
        </w:rPr>
        <w:t>ate.</w:t>
      </w:r>
    </w:p>
    <w:p w14:paraId="3CFFB0F3" w14:textId="77777777" w:rsidR="009605D2" w:rsidRDefault="003A2353">
      <w:pPr>
        <w:widowControl w:val="0"/>
        <w:spacing w:before="200" w:line="300" w:lineRule="atLeast"/>
        <w:jc w:val="both"/>
      </w:pPr>
      <w:bookmarkStart w:id="31" w:name="Bookmark_para_8"/>
      <w:bookmarkEnd w:id="31"/>
      <w:r>
        <w:rPr>
          <w:rFonts w:ascii="Times" w:eastAsia="Times" w:hAnsi="Times" w:cs="Times"/>
          <w:color w:val="000000"/>
        </w:rPr>
        <w:t>We have considered the remainder of Charles's arguments and find them to be without merit. Accordingly, the judgment of the district court hereby is AFFIRMED.</w:t>
      </w:r>
    </w:p>
    <w:p w14:paraId="38341E3D" w14:textId="77777777" w:rsidR="009605D2" w:rsidRDefault="009605D2"/>
    <w:p w14:paraId="4278DA55" w14:textId="77777777" w:rsidR="009605D2" w:rsidRDefault="003A2353">
      <w:pPr>
        <w:ind w:left="200"/>
      </w:pPr>
      <w:r>
        <w:br/>
      </w:r>
      <w:r w:rsidR="007E5785">
        <w:rPr>
          <w:noProof/>
        </w:rPr>
        <mc:AlternateContent>
          <mc:Choice Requires="wps">
            <w:drawing>
              <wp:anchor distT="0" distB="0" distL="114300" distR="114300" simplePos="0" relativeHeight="251660288" behindDoc="0" locked="0" layoutInCell="1" allowOverlap="1" wp14:anchorId="4950BE53" wp14:editId="39A25C81">
                <wp:simplePos x="0" y="0"/>
                <wp:positionH relativeFrom="column">
                  <wp:posOffset>0</wp:posOffset>
                </wp:positionH>
                <wp:positionV relativeFrom="paragraph">
                  <wp:posOffset>127000</wp:posOffset>
                </wp:positionV>
                <wp:extent cx="65024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C9F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" strokeweight="1pt">
                <o:lock v:ext="edit" shapetype="f"/>
              </v:line>
            </w:pict>
          </mc:Fallback>
        </mc:AlternateContent>
      </w:r>
      <w:r>
        <w:rPr>
          <w:b/>
          <w:color w:val="767676"/>
          <w:sz w:val="16"/>
        </w:rPr>
        <w:t>End of Document</w:t>
      </w:r>
    </w:p>
    <w:sectPr w:rsidR="009605D2">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966B" w14:textId="77777777" w:rsidR="003A2353" w:rsidRDefault="003A2353">
      <w:r>
        <w:separator/>
      </w:r>
    </w:p>
  </w:endnote>
  <w:endnote w:type="continuationSeparator" w:id="0">
    <w:p w14:paraId="028D70F5" w14:textId="77777777" w:rsidR="003A2353" w:rsidRDefault="003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Arial">
    <w:panose1 w:val="020B0604020202020204"/>
    <w:charset w:val="CC"/>
    <w:family w:val="swiss"/>
    <w:pitch w:val="variable"/>
    <w:sig w:usb0="E0007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9605D2" w14:paraId="129C71E5" w14:textId="77777777">
      <w:trPr>
        <w:jc w:val="center"/>
      </w:trPr>
      <w:tc>
        <w:tcPr>
          <w:tcW w:w="2600" w:type="dxa"/>
          <w:tcMar>
            <w:top w:w="200" w:type="dxa"/>
          </w:tcMar>
          <w:vAlign w:val="center"/>
        </w:tcPr>
        <w:p w14:paraId="6E9C840B" w14:textId="77777777" w:rsidR="009605D2" w:rsidRDefault="009605D2"/>
      </w:tc>
      <w:tc>
        <w:tcPr>
          <w:tcW w:w="4880" w:type="dxa"/>
          <w:tcMar>
            <w:top w:w="200" w:type="dxa"/>
          </w:tcMar>
          <w:vAlign w:val="center"/>
        </w:tcPr>
        <w:p w14:paraId="058295EE" w14:textId="77777777" w:rsidR="009605D2" w:rsidRDefault="009605D2">
          <w:pPr>
            <w:jc w:val="center"/>
          </w:pPr>
        </w:p>
      </w:tc>
      <w:tc>
        <w:tcPr>
          <w:tcW w:w="2600" w:type="dxa"/>
          <w:tcMar>
            <w:top w:w="200" w:type="dxa"/>
          </w:tcMar>
          <w:vAlign w:val="center"/>
        </w:tcPr>
        <w:p w14:paraId="7DBE8FB8" w14:textId="53F6BC0E" w:rsidR="009605D2" w:rsidRDefault="003A2353">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7E5785">
            <w:rPr>
              <w:rFonts w:ascii="Arial" w:eastAsia="Arial" w:hAnsi="Arial" w:cs="Arial"/>
              <w:sz w:val="20"/>
            </w:rPr>
            <w:fldChar w:fldCharType="separate"/>
          </w:r>
          <w:r w:rsidR="007E5785">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sidR="007E5785">
            <w:rPr>
              <w:rFonts w:ascii="Arial" w:eastAsia="Arial" w:hAnsi="Arial" w:cs="Arial"/>
              <w:sz w:val="20"/>
            </w:rPr>
            <w:fldChar w:fldCharType="separate"/>
          </w:r>
          <w:r w:rsidR="007E5785">
            <w:rPr>
              <w:rFonts w:ascii="Arial" w:eastAsia="Arial" w:hAnsi="Arial" w:cs="Arial"/>
              <w:noProof/>
              <w:sz w:val="20"/>
            </w:rPr>
            <w:t>2</w:t>
          </w:r>
          <w:r>
            <w:rPr>
              <w:rFonts w:ascii="Arial" w:eastAsia="Arial" w:hAnsi="Arial" w:cs="Arial"/>
              <w:sz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2372" w14:textId="77777777" w:rsidR="009605D2" w:rsidRDefault="009605D2">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EC7F7" w14:textId="77777777" w:rsidR="003A2353" w:rsidRDefault="003A2353">
      <w:r>
        <w:separator/>
      </w:r>
    </w:p>
  </w:footnote>
  <w:footnote w:type="continuationSeparator" w:id="0">
    <w:p w14:paraId="28DD0F25" w14:textId="77777777" w:rsidR="003A2353" w:rsidRDefault="003A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9605D2" w14:paraId="6EF900A1" w14:textId="77777777">
      <w:trPr>
        <w:jc w:val="center"/>
      </w:trPr>
      <w:tc>
        <w:tcPr>
          <w:tcW w:w="10080" w:type="dxa"/>
          <w:vAlign w:val="center"/>
        </w:tcPr>
        <w:p w14:paraId="5E83524B" w14:textId="77777777" w:rsidR="009605D2" w:rsidRDefault="009605D2"/>
      </w:tc>
    </w:tr>
    <w:tr w:rsidR="009605D2" w14:paraId="6CA0A930" w14:textId="77777777">
      <w:trPr>
        <w:jc w:val="center"/>
      </w:trPr>
      <w:tc>
        <w:tcPr>
          <w:tcW w:w="10080" w:type="dxa"/>
        </w:tcPr>
        <w:p w14:paraId="619A0437" w14:textId="77777777" w:rsidR="009605D2" w:rsidRDefault="003A2353">
          <w:pPr>
            <w:spacing w:before="60" w:after="200"/>
            <w:jc w:val="center"/>
          </w:pPr>
          <w:r>
            <w:rPr>
              <w:rFonts w:ascii="Times" w:eastAsia="Times" w:hAnsi="Times" w:cs="Times"/>
              <w:sz w:val="20"/>
            </w:rPr>
            <w:t>Charles v. Seinfeld</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A2353"/>
    <w:rsid w:val="007E5785"/>
    <w:rsid w:val="009605D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07BAF"/>
  <w15:docId w15:val="{D7AEAA44-686B-CC41-BAFF-019A99FE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5785"/>
    <w:rPr>
      <w:sz w:val="18"/>
      <w:szCs w:val="18"/>
    </w:rPr>
  </w:style>
  <w:style w:type="character" w:customStyle="1" w:styleId="BalloonTextChar">
    <w:name w:val="Balloon Text Char"/>
    <w:basedOn w:val="DefaultParagraphFont"/>
    <w:link w:val="BalloonText"/>
    <w:rsid w:val="007E5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v. Seinfeld</dc:title>
  <cp:lastModifiedBy>Mark Litwak</cp:lastModifiedBy>
  <cp:revision>2</cp:revision>
  <dcterms:created xsi:type="dcterms:W3CDTF">2020-06-06T17:51:00Z</dcterms:created>
  <dcterms:modified xsi:type="dcterms:W3CDTF">2020-06-06T17:51:00Z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118206309</vt:lpwstr>
  </property>
  <property fmtid="{D5CDD505-2E9C-101B-9397-08002B2CF9AE}" pid="3" name="LADocCount">
    <vt:lpwstr>1</vt:lpwstr>
  </property>
  <property fmtid="{D5CDD505-2E9C-101B-9397-08002B2CF9AE}" pid="4" name="UserPermID">
    <vt:lpwstr>urn:user:PA2405066</vt:lpwstr>
  </property>
</Properties>
</file>